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A6C044">
      <w:pPr>
        <w:widowControl/>
        <w:jc w:val="left"/>
        <w:rPr>
          <w:rFonts w:hint="eastAsia" w:ascii="仿宋_GB2312" w:hAnsi="仿宋" w:eastAsia="仿宋_GB2312" w:cs="仿宋"/>
          <w:sz w:val="28"/>
          <w:szCs w:val="28"/>
          <w:highlight w:val="none"/>
        </w:rPr>
      </w:pPr>
      <w:r>
        <w:rPr>
          <w:rFonts w:hint="eastAsia" w:ascii="仿宋_GB2312" w:hAnsi="仿宋" w:eastAsia="仿宋_GB2312" w:cs="仿宋"/>
          <w:sz w:val="28"/>
          <w:szCs w:val="28"/>
          <w:highlight w:val="none"/>
        </w:rPr>
        <w:t>附件1：</w:t>
      </w:r>
    </w:p>
    <w:p w14:paraId="43A729DE">
      <w:pPr>
        <w:jc w:val="center"/>
        <w:rPr>
          <w:rFonts w:hint="default" w:ascii="方正小标宋简体" w:hAnsi="仿宋" w:eastAsia="方正小标宋简体"/>
          <w:sz w:val="44"/>
          <w:szCs w:val="44"/>
          <w:highlight w:val="none"/>
          <w:lang w:val="en-US" w:eastAsia="zh-CN"/>
        </w:rPr>
      </w:pPr>
      <w:r>
        <w:rPr>
          <w:rFonts w:hint="eastAsia" w:ascii="方正小标宋简体" w:hAnsi="仿宋" w:eastAsia="方正小标宋简体"/>
          <w:sz w:val="44"/>
          <w:szCs w:val="44"/>
          <w:highlight w:val="none"/>
        </w:rPr>
        <w:t>服务内容</w:t>
      </w:r>
      <w:r>
        <w:rPr>
          <w:rFonts w:hint="eastAsia" w:ascii="方正小标宋简体" w:hAnsi="仿宋" w:eastAsia="方正小标宋简体"/>
          <w:sz w:val="44"/>
          <w:szCs w:val="44"/>
          <w:highlight w:val="none"/>
          <w:lang w:val="en-US" w:eastAsia="zh-CN"/>
        </w:rPr>
        <w:t>(一包)</w:t>
      </w:r>
    </w:p>
    <w:p w14:paraId="7E1709BB">
      <w:pPr>
        <w:snapToGrid w:val="0"/>
        <w:spacing w:line="440" w:lineRule="exact"/>
        <w:rPr>
          <w:rFonts w:hint="eastAsia" w:ascii="仿宋_GB2312" w:hAnsi="仿宋_GB2312" w:eastAsia="仿宋_GB2312" w:cs="仿宋_GB2312"/>
          <w:sz w:val="32"/>
          <w:szCs w:val="32"/>
          <w:highlight w:val="none"/>
        </w:rPr>
      </w:pPr>
      <w:r>
        <w:rPr>
          <w:rFonts w:hint="eastAsia" w:ascii="仿宋_GB2312" w:hAnsi="仿宋" w:eastAsia="仿宋_GB2312" w:cs="仿宋"/>
          <w:sz w:val="28"/>
          <w:szCs w:val="28"/>
          <w:highlight w:val="none"/>
        </w:rPr>
        <w:t xml:space="preserve">  </w:t>
      </w:r>
      <w:r>
        <w:rPr>
          <w:rFonts w:hint="eastAsia" w:ascii="仿宋_GB2312" w:hAnsi="仿宋_GB2312" w:eastAsia="仿宋_GB2312" w:cs="仿宋_GB2312"/>
          <w:sz w:val="32"/>
          <w:szCs w:val="32"/>
          <w:highlight w:val="none"/>
        </w:rPr>
        <w:t xml:space="preserve">  一、服务内容</w:t>
      </w:r>
    </w:p>
    <w:p w14:paraId="330FEC37">
      <w:pPr>
        <w:keepNext w:val="0"/>
        <w:keepLines w:val="0"/>
        <w:widowControl/>
        <w:suppressLineNumbers w:val="0"/>
        <w:ind w:firstLine="640" w:firstLineChars="200"/>
        <w:jc w:val="left"/>
        <w:rPr>
          <w:rFonts w:hint="eastAsia" w:ascii="仿宋_GB2312" w:hAnsi="仿宋_GB2312" w:eastAsia="仿宋_GB2312" w:cs="仿宋_GB2312"/>
          <w:color w:val="333333"/>
          <w:sz w:val="32"/>
          <w:szCs w:val="32"/>
          <w:highlight w:val="none"/>
          <w:shd w:val="clear" w:color="auto" w:fill="FFFFFF"/>
        </w:rPr>
      </w:pPr>
      <w:bookmarkStart w:id="0" w:name="_Hlk191113144"/>
      <w:r>
        <w:rPr>
          <w:rFonts w:hint="eastAsia" w:ascii="仿宋_GB2312" w:hAnsi="仿宋_GB2312" w:eastAsia="仿宋_GB2312" w:cs="仿宋_GB2312"/>
          <w:sz w:val="32"/>
          <w:szCs w:val="32"/>
          <w:highlight w:val="none"/>
          <w:lang w:val="en-US" w:eastAsia="zh-CN"/>
        </w:rPr>
        <w:t>对市电影公司星海艺苑资产清查，包括但不限于资产负债、经营管理、财务收支、债权债务、股权结构等进行全面审计。</w:t>
      </w:r>
    </w:p>
    <w:bookmarkEnd w:id="0"/>
    <w:p w14:paraId="6F3B3513">
      <w:pPr>
        <w:snapToGrid w:val="0"/>
        <w:spacing w:line="44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二、资质要求</w:t>
      </w:r>
      <w:r>
        <w:rPr>
          <w:rFonts w:hint="eastAsia" w:ascii="仿宋_GB2312" w:hAnsi="仿宋_GB2312" w:eastAsia="仿宋_GB2312" w:cs="仿宋_GB2312"/>
          <w:sz w:val="32"/>
          <w:szCs w:val="32"/>
          <w:highlight w:val="none"/>
        </w:rPr>
        <w:tab/>
      </w:r>
    </w:p>
    <w:p w14:paraId="3FA25D97">
      <w:pPr>
        <w:snapToGrid w:val="0"/>
        <w:spacing w:line="440" w:lineRule="exact"/>
        <w:ind w:firstLine="640" w:firstLineChars="200"/>
        <w:rPr>
          <w:rFonts w:hint="eastAsia" w:ascii="仿宋_GB2312" w:hAnsi="仿宋_GB2312" w:eastAsia="仿宋_GB2312" w:cs="仿宋_GB2312"/>
          <w:color w:val="333333"/>
          <w:sz w:val="32"/>
          <w:szCs w:val="32"/>
          <w:highlight w:val="none"/>
          <w:shd w:val="clear" w:color="auto" w:fill="FFFFFF"/>
        </w:rPr>
      </w:pPr>
      <w:r>
        <w:rPr>
          <w:rFonts w:hint="eastAsia" w:ascii="仿宋_GB2312" w:hAnsi="仿宋_GB2312" w:eastAsia="仿宋_GB2312" w:cs="仿宋_GB2312"/>
          <w:color w:val="333333"/>
          <w:sz w:val="32"/>
          <w:szCs w:val="32"/>
          <w:highlight w:val="none"/>
          <w:shd w:val="clear" w:color="auto" w:fill="FFFFFF"/>
        </w:rPr>
        <w:t>1、投标人需具备财政部门颁发的《会计师事务所执业证书》；</w:t>
      </w:r>
    </w:p>
    <w:p w14:paraId="6D06AA81">
      <w:pPr>
        <w:snapToGrid w:val="0"/>
        <w:spacing w:line="44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color w:val="333333"/>
          <w:sz w:val="32"/>
          <w:szCs w:val="32"/>
          <w:highlight w:val="none"/>
          <w:shd w:val="clear" w:color="auto" w:fill="FFFFFF"/>
        </w:rPr>
        <w:t>2、投标人近3年没有受到行政处罚（包括事务所的注册会计师）或行业通报批评，并在承办国有企业审计工作中没有出现不良执业记录和重大审计质量问题，提供承诺。</w:t>
      </w:r>
    </w:p>
    <w:p w14:paraId="50590EB0">
      <w:pPr>
        <w:snapToGrid w:val="0"/>
        <w:spacing w:line="440" w:lineRule="exact"/>
        <w:ind w:left="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三、时限要求</w:t>
      </w:r>
    </w:p>
    <w:p w14:paraId="4F02BC28">
      <w:pPr>
        <w:keepNext w:val="0"/>
        <w:keepLines w:val="0"/>
        <w:widowControl/>
        <w:suppressLineNumbers w:val="0"/>
        <w:ind w:firstLine="640" w:firstLineChars="200"/>
        <w:jc w:val="left"/>
        <w:rPr>
          <w:rFonts w:hint="eastAsia" w:ascii="仿宋_GB2312" w:hAnsi="仿宋" w:eastAsia="仿宋_GB2312" w:cs="仿宋"/>
          <w:sz w:val="28"/>
          <w:szCs w:val="28"/>
          <w:highlight w:val="none"/>
        </w:rPr>
      </w:pPr>
      <w:r>
        <w:rPr>
          <w:rFonts w:hint="eastAsia" w:ascii="仿宋_GB2312" w:hAnsi="仿宋_GB2312" w:eastAsia="仿宋_GB2312" w:cs="仿宋_GB2312"/>
          <w:sz w:val="32"/>
          <w:szCs w:val="32"/>
          <w:highlight w:val="none"/>
          <w:lang w:val="en-US" w:eastAsia="zh-CN"/>
        </w:rPr>
        <w:t>对市电影公司星海艺苑资产清查，包括但不限于资产负债、经营管理、财务收支、债权债务、股权结构等进行全面审计。</w:t>
      </w:r>
      <w:r>
        <w:rPr>
          <w:rFonts w:hint="eastAsia" w:ascii="仿宋_GB2312" w:hAnsi="仿宋_GB2312" w:eastAsia="仿宋_GB2312" w:cs="仿宋_GB2312"/>
          <w:sz w:val="32"/>
          <w:szCs w:val="32"/>
          <w:highlight w:val="none"/>
        </w:rPr>
        <w:t>时限为</w:t>
      </w:r>
      <w:bookmarkStart w:id="1" w:name="_Hlk191113275"/>
      <w:r>
        <w:rPr>
          <w:rFonts w:hint="eastAsia" w:ascii="仿宋_GB2312" w:hAnsi="仿宋_GB2312" w:eastAsia="仿宋_GB2312" w:cs="仿宋_GB2312"/>
          <w:sz w:val="32"/>
          <w:szCs w:val="32"/>
          <w:highlight w:val="none"/>
        </w:rPr>
        <w:t>20个工作日。</w:t>
      </w:r>
      <w:bookmarkEnd w:id="1"/>
    </w:p>
    <w:p w14:paraId="77F50317">
      <w:pPr>
        <w:snapToGrid w:val="0"/>
        <w:spacing w:line="440" w:lineRule="exact"/>
        <w:ind w:firstLine="560" w:firstLineChars="200"/>
        <w:rPr>
          <w:rFonts w:hint="eastAsia" w:ascii="仿宋_GB2312" w:hAnsi="仿宋" w:eastAsia="仿宋_GB2312"/>
          <w:sz w:val="28"/>
          <w:szCs w:val="28"/>
          <w:highlight w:val="none"/>
        </w:rPr>
      </w:pPr>
    </w:p>
    <w:p w14:paraId="7D4F944F">
      <w:pPr>
        <w:snapToGrid w:val="0"/>
        <w:spacing w:line="440" w:lineRule="exact"/>
        <w:ind w:firstLine="560" w:firstLineChars="200"/>
        <w:rPr>
          <w:rFonts w:hint="eastAsia" w:ascii="仿宋_GB2312" w:hAnsi="仿宋" w:eastAsia="仿宋_GB2312"/>
          <w:sz w:val="28"/>
          <w:szCs w:val="28"/>
          <w:highlight w:val="none"/>
        </w:rPr>
      </w:pPr>
    </w:p>
    <w:p w14:paraId="749C68EE">
      <w:pPr>
        <w:snapToGrid w:val="0"/>
        <w:spacing w:line="440" w:lineRule="exact"/>
        <w:ind w:firstLine="560" w:firstLineChars="200"/>
        <w:rPr>
          <w:rFonts w:hint="eastAsia" w:ascii="仿宋_GB2312" w:hAnsi="仿宋" w:eastAsia="仿宋_GB2312"/>
          <w:sz w:val="28"/>
          <w:szCs w:val="28"/>
          <w:highlight w:val="none"/>
        </w:rPr>
      </w:pPr>
    </w:p>
    <w:p w14:paraId="2A9AC681">
      <w:pPr>
        <w:snapToGrid w:val="0"/>
        <w:spacing w:line="440" w:lineRule="exact"/>
        <w:ind w:firstLine="560" w:firstLineChars="200"/>
        <w:rPr>
          <w:rFonts w:hint="eastAsia" w:ascii="仿宋_GB2312" w:hAnsi="仿宋" w:eastAsia="仿宋_GB2312"/>
          <w:sz w:val="28"/>
          <w:szCs w:val="28"/>
          <w:highlight w:val="none"/>
        </w:rPr>
      </w:pPr>
    </w:p>
    <w:p w14:paraId="3C5E071C">
      <w:pPr>
        <w:snapToGrid w:val="0"/>
        <w:spacing w:line="440" w:lineRule="exact"/>
        <w:ind w:firstLine="560" w:firstLineChars="200"/>
        <w:rPr>
          <w:rFonts w:hint="eastAsia" w:ascii="仿宋_GB2312" w:hAnsi="仿宋" w:eastAsia="仿宋_GB2312"/>
          <w:sz w:val="28"/>
          <w:szCs w:val="28"/>
          <w:highlight w:val="none"/>
        </w:rPr>
      </w:pPr>
    </w:p>
    <w:p w14:paraId="3026CC45">
      <w:pPr>
        <w:snapToGrid w:val="0"/>
        <w:spacing w:line="440" w:lineRule="exact"/>
        <w:ind w:firstLine="560" w:firstLineChars="200"/>
        <w:rPr>
          <w:rFonts w:hint="eastAsia" w:ascii="仿宋_GB2312" w:hAnsi="仿宋" w:eastAsia="仿宋_GB2312"/>
          <w:sz w:val="28"/>
          <w:szCs w:val="28"/>
          <w:highlight w:val="none"/>
        </w:rPr>
      </w:pPr>
    </w:p>
    <w:p w14:paraId="1B6C0256">
      <w:pPr>
        <w:snapToGrid w:val="0"/>
        <w:spacing w:line="440" w:lineRule="exact"/>
        <w:ind w:firstLine="560" w:firstLineChars="200"/>
        <w:rPr>
          <w:rFonts w:hint="eastAsia" w:ascii="仿宋_GB2312" w:hAnsi="仿宋" w:eastAsia="仿宋_GB2312"/>
          <w:sz w:val="28"/>
          <w:szCs w:val="28"/>
          <w:highlight w:val="none"/>
        </w:rPr>
      </w:pPr>
    </w:p>
    <w:p w14:paraId="3FAD7889">
      <w:pPr>
        <w:snapToGrid w:val="0"/>
        <w:spacing w:line="440" w:lineRule="exact"/>
        <w:ind w:firstLine="560" w:firstLineChars="200"/>
        <w:rPr>
          <w:rFonts w:hint="eastAsia" w:ascii="仿宋_GB2312" w:hAnsi="仿宋" w:eastAsia="仿宋_GB2312"/>
          <w:sz w:val="28"/>
          <w:szCs w:val="28"/>
          <w:highlight w:val="none"/>
        </w:rPr>
      </w:pPr>
    </w:p>
    <w:p w14:paraId="76623B80">
      <w:pPr>
        <w:snapToGrid w:val="0"/>
        <w:spacing w:line="440" w:lineRule="exact"/>
        <w:ind w:firstLine="560" w:firstLineChars="200"/>
        <w:rPr>
          <w:rFonts w:hint="eastAsia" w:ascii="仿宋_GB2312" w:hAnsi="仿宋" w:eastAsia="仿宋_GB2312"/>
          <w:sz w:val="28"/>
          <w:szCs w:val="28"/>
          <w:highlight w:val="none"/>
        </w:rPr>
      </w:pPr>
    </w:p>
    <w:p w14:paraId="6F3D520B">
      <w:pPr>
        <w:snapToGrid w:val="0"/>
        <w:spacing w:line="440" w:lineRule="exact"/>
        <w:ind w:firstLine="560" w:firstLineChars="200"/>
        <w:rPr>
          <w:rFonts w:hint="eastAsia" w:ascii="仿宋_GB2312" w:hAnsi="仿宋" w:eastAsia="仿宋_GB2312"/>
          <w:sz w:val="28"/>
          <w:szCs w:val="28"/>
          <w:highlight w:val="none"/>
        </w:rPr>
      </w:pPr>
    </w:p>
    <w:p w14:paraId="404C207E">
      <w:pPr>
        <w:snapToGrid w:val="0"/>
        <w:spacing w:line="440" w:lineRule="exact"/>
        <w:rPr>
          <w:rFonts w:hint="eastAsia" w:ascii="仿宋_GB2312" w:hAnsi="仿宋" w:eastAsia="仿宋_GB2312"/>
          <w:sz w:val="28"/>
          <w:szCs w:val="28"/>
          <w:highlight w:val="none"/>
        </w:rPr>
      </w:pPr>
    </w:p>
    <w:p w14:paraId="0736F3A0">
      <w:pPr>
        <w:jc w:val="center"/>
        <w:rPr>
          <w:rFonts w:hint="default" w:ascii="方正小标宋简体" w:hAnsi="仿宋" w:eastAsia="方正小标宋简体"/>
          <w:sz w:val="44"/>
          <w:szCs w:val="44"/>
          <w:highlight w:val="none"/>
          <w:lang w:val="en-US" w:eastAsia="zh-CN"/>
        </w:rPr>
      </w:pPr>
      <w:r>
        <w:rPr>
          <w:rFonts w:hint="eastAsia" w:ascii="方正小标宋简体" w:hAnsi="仿宋" w:eastAsia="方正小标宋简体"/>
          <w:sz w:val="44"/>
          <w:szCs w:val="44"/>
          <w:highlight w:val="none"/>
        </w:rPr>
        <w:t>服务内容</w:t>
      </w:r>
      <w:r>
        <w:rPr>
          <w:rFonts w:hint="eastAsia" w:ascii="方正小标宋简体" w:hAnsi="仿宋" w:eastAsia="方正小标宋简体"/>
          <w:sz w:val="44"/>
          <w:szCs w:val="44"/>
          <w:highlight w:val="none"/>
          <w:lang w:val="en-US" w:eastAsia="zh-CN"/>
        </w:rPr>
        <w:t>(二包)</w:t>
      </w:r>
    </w:p>
    <w:p w14:paraId="153E7BF9">
      <w:pPr>
        <w:snapToGrid w:val="0"/>
        <w:spacing w:line="440" w:lineRule="exact"/>
        <w:rPr>
          <w:rFonts w:hint="eastAsia" w:ascii="仿宋_GB2312" w:hAnsi="仿宋_GB2312" w:eastAsia="仿宋_GB2312" w:cs="仿宋_GB2312"/>
          <w:sz w:val="32"/>
          <w:szCs w:val="32"/>
          <w:highlight w:val="none"/>
        </w:rPr>
      </w:pPr>
      <w:r>
        <w:rPr>
          <w:rFonts w:hint="eastAsia" w:ascii="仿宋_GB2312" w:hAnsi="仿宋" w:eastAsia="仿宋_GB2312" w:cs="仿宋"/>
          <w:sz w:val="28"/>
          <w:szCs w:val="28"/>
          <w:highlight w:val="none"/>
        </w:rPr>
        <w:t xml:space="preserve">  </w:t>
      </w:r>
      <w:r>
        <w:rPr>
          <w:rFonts w:hint="eastAsia" w:ascii="仿宋_GB2312" w:hAnsi="仿宋_GB2312" w:eastAsia="仿宋_GB2312" w:cs="仿宋_GB2312"/>
          <w:sz w:val="32"/>
          <w:szCs w:val="32"/>
          <w:highlight w:val="none"/>
        </w:rPr>
        <w:t xml:space="preserve">  一、服务内容</w:t>
      </w:r>
    </w:p>
    <w:p w14:paraId="3462D3E4">
      <w:pPr>
        <w:keepNext w:val="0"/>
        <w:keepLines w:val="0"/>
        <w:widowControl/>
        <w:suppressLineNumbers w:val="0"/>
        <w:ind w:firstLine="640" w:firstLineChars="200"/>
        <w:jc w:val="left"/>
        <w:rPr>
          <w:rFonts w:hint="eastAsia" w:ascii="仿宋_GB2312" w:hAnsi="仿宋_GB2312" w:eastAsia="仿宋_GB2312" w:cs="仿宋_GB2312"/>
          <w:color w:val="333333"/>
          <w:sz w:val="32"/>
          <w:szCs w:val="32"/>
          <w:highlight w:val="none"/>
          <w:shd w:val="clear" w:color="auto" w:fill="FFFFFF"/>
        </w:rPr>
      </w:pPr>
      <w:r>
        <w:rPr>
          <w:rFonts w:hint="eastAsia" w:ascii="仿宋_GB2312" w:hAnsi="仿宋_GB2312" w:eastAsia="仿宋_GB2312" w:cs="仿宋_GB2312"/>
          <w:sz w:val="32"/>
          <w:szCs w:val="32"/>
          <w:highlight w:val="none"/>
          <w:lang w:val="en-US" w:eastAsia="zh-CN"/>
        </w:rPr>
        <w:t>对市电影公司星海艺苑资产评估，包括但不限于固定资产评估及其他相关资产评估。</w:t>
      </w:r>
    </w:p>
    <w:p w14:paraId="4F2136CF">
      <w:pPr>
        <w:snapToGrid w:val="0"/>
        <w:spacing w:line="44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二、资质要求</w:t>
      </w:r>
      <w:r>
        <w:rPr>
          <w:rFonts w:hint="eastAsia" w:ascii="仿宋_GB2312" w:hAnsi="仿宋_GB2312" w:eastAsia="仿宋_GB2312" w:cs="仿宋_GB2312"/>
          <w:sz w:val="32"/>
          <w:szCs w:val="32"/>
          <w:highlight w:val="none"/>
        </w:rPr>
        <w:tab/>
      </w:r>
    </w:p>
    <w:p w14:paraId="16EDD0D1">
      <w:pPr>
        <w:snapToGrid w:val="0"/>
        <w:spacing w:line="440" w:lineRule="exact"/>
        <w:ind w:firstLine="640" w:firstLineChars="200"/>
        <w:rPr>
          <w:rFonts w:hint="eastAsia" w:ascii="仿宋_GB2312" w:hAnsi="仿宋_GB2312" w:eastAsia="仿宋_GB2312" w:cs="仿宋_GB2312"/>
          <w:color w:val="333333"/>
          <w:sz w:val="32"/>
          <w:szCs w:val="32"/>
          <w:highlight w:val="none"/>
          <w:shd w:val="clear" w:color="auto" w:fill="FFFFFF"/>
        </w:rPr>
      </w:pPr>
      <w:r>
        <w:rPr>
          <w:rFonts w:hint="eastAsia" w:ascii="仿宋_GB2312" w:hAnsi="仿宋_GB2312" w:eastAsia="仿宋_GB2312" w:cs="仿宋_GB2312"/>
          <w:color w:val="333333"/>
          <w:sz w:val="32"/>
          <w:szCs w:val="32"/>
          <w:highlight w:val="none"/>
          <w:shd w:val="clear" w:color="auto" w:fill="FFFFFF"/>
        </w:rPr>
        <w:t>1、</w:t>
      </w:r>
      <w:r>
        <w:rPr>
          <w:rFonts w:hint="eastAsia" w:ascii="仿宋_GB2312" w:hAnsi="仿宋_GB2312" w:eastAsia="仿宋_GB2312" w:cs="仿宋_GB2312"/>
          <w:color w:val="333333"/>
          <w:sz w:val="32"/>
          <w:szCs w:val="32"/>
          <w:highlight w:val="none"/>
          <w:shd w:val="clear" w:color="auto" w:fill="FFFFFF"/>
          <w:lang w:val="en-US" w:eastAsia="zh-CN"/>
        </w:rPr>
        <w:t>要求投标人已在相应行政主管部门进行资产评估资格备案</w:t>
      </w:r>
      <w:r>
        <w:rPr>
          <w:rFonts w:hint="eastAsia" w:ascii="仿宋_GB2312" w:hAnsi="仿宋_GB2312" w:eastAsia="仿宋_GB2312" w:cs="仿宋_GB2312"/>
          <w:color w:val="333333"/>
          <w:sz w:val="32"/>
          <w:szCs w:val="32"/>
          <w:highlight w:val="none"/>
          <w:shd w:val="clear" w:color="auto" w:fill="FFFFFF"/>
        </w:rPr>
        <w:t>；</w:t>
      </w:r>
    </w:p>
    <w:p w14:paraId="78CB97BF">
      <w:pPr>
        <w:snapToGrid w:val="0"/>
        <w:spacing w:line="44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color w:val="333333"/>
          <w:sz w:val="32"/>
          <w:szCs w:val="32"/>
          <w:highlight w:val="none"/>
          <w:shd w:val="clear" w:color="auto" w:fill="FFFFFF"/>
        </w:rPr>
        <w:t>2、投标人近3年没有受到行政处罚，并在承办国有企业</w:t>
      </w:r>
      <w:r>
        <w:rPr>
          <w:rFonts w:hint="eastAsia" w:ascii="仿宋_GB2312" w:hAnsi="仿宋_GB2312" w:eastAsia="仿宋_GB2312" w:cs="仿宋_GB2312"/>
          <w:color w:val="333333"/>
          <w:sz w:val="32"/>
          <w:szCs w:val="32"/>
          <w:highlight w:val="none"/>
          <w:shd w:val="clear" w:color="auto" w:fill="FFFFFF"/>
          <w:lang w:val="en-US" w:eastAsia="zh-CN"/>
        </w:rPr>
        <w:t>资产评估</w:t>
      </w:r>
      <w:r>
        <w:rPr>
          <w:rFonts w:hint="eastAsia" w:ascii="仿宋_GB2312" w:hAnsi="仿宋_GB2312" w:eastAsia="仿宋_GB2312" w:cs="仿宋_GB2312"/>
          <w:color w:val="333333"/>
          <w:sz w:val="32"/>
          <w:szCs w:val="32"/>
          <w:highlight w:val="none"/>
          <w:shd w:val="clear" w:color="auto" w:fill="FFFFFF"/>
        </w:rPr>
        <w:t>工作中没有出现不良执业记录和重大质量问题，提供承诺。</w:t>
      </w:r>
    </w:p>
    <w:p w14:paraId="0224BC08">
      <w:pPr>
        <w:snapToGrid w:val="0"/>
        <w:spacing w:line="440" w:lineRule="exact"/>
        <w:ind w:left="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三、时限要求</w:t>
      </w:r>
    </w:p>
    <w:p w14:paraId="6C11F129">
      <w:pPr>
        <w:keepNext w:val="0"/>
        <w:keepLines w:val="0"/>
        <w:widowControl/>
        <w:suppressLineNumbers w:val="0"/>
        <w:ind w:firstLine="640" w:firstLineChars="200"/>
        <w:jc w:val="left"/>
        <w:rPr>
          <w:rFonts w:hint="eastAsia" w:ascii="仿宋_GB2312" w:hAnsi="仿宋" w:eastAsia="仿宋_GB2312" w:cs="仿宋"/>
          <w:sz w:val="28"/>
          <w:szCs w:val="28"/>
          <w:highlight w:val="none"/>
        </w:rPr>
      </w:pPr>
      <w:r>
        <w:rPr>
          <w:rFonts w:hint="eastAsia" w:ascii="仿宋_GB2312" w:hAnsi="仿宋_GB2312" w:eastAsia="仿宋_GB2312" w:cs="仿宋_GB2312"/>
          <w:sz w:val="32"/>
          <w:szCs w:val="32"/>
          <w:highlight w:val="none"/>
          <w:lang w:val="en-US" w:eastAsia="zh-CN"/>
        </w:rPr>
        <w:t>对市电影公司星海艺苑资产评估，包括但不限于固定资产评估及其他相关资产评估。</w:t>
      </w:r>
      <w:r>
        <w:rPr>
          <w:rFonts w:hint="eastAsia" w:ascii="仿宋_GB2312" w:hAnsi="仿宋_GB2312" w:eastAsia="仿宋_GB2312" w:cs="仿宋_GB2312"/>
          <w:sz w:val="32"/>
          <w:szCs w:val="32"/>
          <w:highlight w:val="none"/>
        </w:rPr>
        <w:t>时限为20个工作日。</w:t>
      </w:r>
    </w:p>
    <w:p w14:paraId="24B10833">
      <w:pPr>
        <w:snapToGrid w:val="0"/>
        <w:spacing w:line="440" w:lineRule="exact"/>
        <w:ind w:firstLine="560" w:firstLineChars="200"/>
        <w:rPr>
          <w:rFonts w:hint="eastAsia" w:ascii="仿宋_GB2312" w:hAnsi="仿宋" w:eastAsia="仿宋_GB2312"/>
          <w:sz w:val="28"/>
          <w:szCs w:val="28"/>
          <w:highlight w:val="none"/>
        </w:rPr>
      </w:pPr>
      <w:bookmarkStart w:id="2" w:name="_GoBack"/>
      <w:bookmarkEnd w:id="2"/>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1" w:fontKey="{190EF909-CA39-4665-A58B-FE23316E4B5B}"/>
  </w:font>
  <w:font w:name="仿宋">
    <w:panose1 w:val="02010609060101010101"/>
    <w:charset w:val="86"/>
    <w:family w:val="modern"/>
    <w:pitch w:val="default"/>
    <w:sig w:usb0="800002BF" w:usb1="38CF7CFA" w:usb2="00000016" w:usb3="00000000" w:csb0="00040001" w:csb1="00000000"/>
    <w:embedRegular r:id="rId2" w:fontKey="{FEE18CFE-2BEB-4B8A-BFCA-2A79305A02D8}"/>
  </w:font>
  <w:font w:name="方正小标宋简体">
    <w:panose1 w:val="02000000000000000000"/>
    <w:charset w:val="86"/>
    <w:family w:val="script"/>
    <w:pitch w:val="default"/>
    <w:sig w:usb0="00000001" w:usb1="08000000" w:usb2="00000000" w:usb3="00000000" w:csb0="00040000" w:csb1="00000000"/>
    <w:embedRegular r:id="rId3" w:fontKey="{DC7E697A-9011-4D55-94F8-98547D666DE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87622657"/>
    </w:sdtPr>
    <w:sdtContent>
      <w:p w14:paraId="537D31D9">
        <w:pPr>
          <w:pStyle w:val="6"/>
          <w:jc w:val="center"/>
        </w:pPr>
        <w:r>
          <w:fldChar w:fldCharType="begin"/>
        </w:r>
        <w:r>
          <w:instrText xml:space="preserve">PAGE   \* MERGEFORMAT</w:instrText>
        </w:r>
        <w:r>
          <w:fldChar w:fldCharType="separate"/>
        </w:r>
        <w:r>
          <w:rPr>
            <w:lang w:val="zh-CN"/>
          </w:rPr>
          <w:t>2</w:t>
        </w:r>
        <w:r>
          <w:fldChar w:fldCharType="end"/>
        </w:r>
      </w:p>
    </w:sdtContent>
  </w:sdt>
  <w:p w14:paraId="7B93CFDD">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BiNjZmOTI0NWUyMDk5MzU0NDRiMGEyN2IxNzhkZTkifQ=="/>
  </w:docVars>
  <w:rsids>
    <w:rsidRoot w:val="00C11A16"/>
    <w:rsid w:val="000061B2"/>
    <w:rsid w:val="00010A88"/>
    <w:rsid w:val="00010B79"/>
    <w:rsid w:val="00024AC1"/>
    <w:rsid w:val="00027725"/>
    <w:rsid w:val="00035863"/>
    <w:rsid w:val="00051592"/>
    <w:rsid w:val="000629A4"/>
    <w:rsid w:val="00093DBF"/>
    <w:rsid w:val="000A2A1E"/>
    <w:rsid w:val="000C5461"/>
    <w:rsid w:val="000D02E0"/>
    <w:rsid w:val="000D7075"/>
    <w:rsid w:val="000F4791"/>
    <w:rsid w:val="000F6926"/>
    <w:rsid w:val="00102D4A"/>
    <w:rsid w:val="00103B97"/>
    <w:rsid w:val="001078AA"/>
    <w:rsid w:val="00124DA7"/>
    <w:rsid w:val="00125E0F"/>
    <w:rsid w:val="00131E89"/>
    <w:rsid w:val="00135D50"/>
    <w:rsid w:val="00151BBC"/>
    <w:rsid w:val="001533F6"/>
    <w:rsid w:val="001623E8"/>
    <w:rsid w:val="00162951"/>
    <w:rsid w:val="00170FEC"/>
    <w:rsid w:val="001B52AA"/>
    <w:rsid w:val="001D14F3"/>
    <w:rsid w:val="001D38E2"/>
    <w:rsid w:val="001D4673"/>
    <w:rsid w:val="001E0CDC"/>
    <w:rsid w:val="001E1F1B"/>
    <w:rsid w:val="001E2962"/>
    <w:rsid w:val="0023079A"/>
    <w:rsid w:val="0023367D"/>
    <w:rsid w:val="00252178"/>
    <w:rsid w:val="002625A7"/>
    <w:rsid w:val="00276403"/>
    <w:rsid w:val="002800B3"/>
    <w:rsid w:val="00282090"/>
    <w:rsid w:val="0029502C"/>
    <w:rsid w:val="002A1D73"/>
    <w:rsid w:val="002A46BC"/>
    <w:rsid w:val="002B373F"/>
    <w:rsid w:val="002C2D74"/>
    <w:rsid w:val="002C7014"/>
    <w:rsid w:val="002D6B7A"/>
    <w:rsid w:val="003174A4"/>
    <w:rsid w:val="00327555"/>
    <w:rsid w:val="00327581"/>
    <w:rsid w:val="00332C1A"/>
    <w:rsid w:val="00375999"/>
    <w:rsid w:val="00376D49"/>
    <w:rsid w:val="003856B3"/>
    <w:rsid w:val="003878F7"/>
    <w:rsid w:val="00391187"/>
    <w:rsid w:val="0039223E"/>
    <w:rsid w:val="003A52AE"/>
    <w:rsid w:val="003B2AB4"/>
    <w:rsid w:val="003B4EEA"/>
    <w:rsid w:val="003B6095"/>
    <w:rsid w:val="003D13FF"/>
    <w:rsid w:val="003F7FD7"/>
    <w:rsid w:val="00406B5D"/>
    <w:rsid w:val="00441001"/>
    <w:rsid w:val="00450693"/>
    <w:rsid w:val="00453694"/>
    <w:rsid w:val="00453DFA"/>
    <w:rsid w:val="004613C8"/>
    <w:rsid w:val="00474961"/>
    <w:rsid w:val="00474FD7"/>
    <w:rsid w:val="004925CF"/>
    <w:rsid w:val="00493479"/>
    <w:rsid w:val="004939EF"/>
    <w:rsid w:val="0049726C"/>
    <w:rsid w:val="004A59F3"/>
    <w:rsid w:val="004B775B"/>
    <w:rsid w:val="004C4E02"/>
    <w:rsid w:val="004D7D59"/>
    <w:rsid w:val="004F223D"/>
    <w:rsid w:val="0050008D"/>
    <w:rsid w:val="005038C9"/>
    <w:rsid w:val="005172B0"/>
    <w:rsid w:val="00517BD7"/>
    <w:rsid w:val="00521E8B"/>
    <w:rsid w:val="005244FE"/>
    <w:rsid w:val="00525F4E"/>
    <w:rsid w:val="005372A2"/>
    <w:rsid w:val="0054398C"/>
    <w:rsid w:val="0055406C"/>
    <w:rsid w:val="005625AF"/>
    <w:rsid w:val="005640B8"/>
    <w:rsid w:val="00580996"/>
    <w:rsid w:val="005A367F"/>
    <w:rsid w:val="005C686F"/>
    <w:rsid w:val="005D7EEB"/>
    <w:rsid w:val="005E550A"/>
    <w:rsid w:val="005E7C89"/>
    <w:rsid w:val="005F3B29"/>
    <w:rsid w:val="005F5FF0"/>
    <w:rsid w:val="00612AA4"/>
    <w:rsid w:val="0062018C"/>
    <w:rsid w:val="0063691D"/>
    <w:rsid w:val="00637DB6"/>
    <w:rsid w:val="0064344C"/>
    <w:rsid w:val="006473C8"/>
    <w:rsid w:val="006512D9"/>
    <w:rsid w:val="00654BF4"/>
    <w:rsid w:val="00660EC2"/>
    <w:rsid w:val="00670D2F"/>
    <w:rsid w:val="006749C8"/>
    <w:rsid w:val="00684113"/>
    <w:rsid w:val="00687AA1"/>
    <w:rsid w:val="00696ACF"/>
    <w:rsid w:val="006A3366"/>
    <w:rsid w:val="006C4171"/>
    <w:rsid w:val="006C617E"/>
    <w:rsid w:val="006D14EE"/>
    <w:rsid w:val="006D5DFA"/>
    <w:rsid w:val="006E3DBD"/>
    <w:rsid w:val="006E5837"/>
    <w:rsid w:val="0070627D"/>
    <w:rsid w:val="00711E2C"/>
    <w:rsid w:val="00717F27"/>
    <w:rsid w:val="00721E44"/>
    <w:rsid w:val="00725B05"/>
    <w:rsid w:val="00745340"/>
    <w:rsid w:val="00751182"/>
    <w:rsid w:val="00760E3C"/>
    <w:rsid w:val="0076796B"/>
    <w:rsid w:val="0078499A"/>
    <w:rsid w:val="007971C2"/>
    <w:rsid w:val="007A016C"/>
    <w:rsid w:val="007A127A"/>
    <w:rsid w:val="007A392E"/>
    <w:rsid w:val="007A58B5"/>
    <w:rsid w:val="007B6945"/>
    <w:rsid w:val="007C5A1A"/>
    <w:rsid w:val="007D2F1D"/>
    <w:rsid w:val="007D30F5"/>
    <w:rsid w:val="007E1F5B"/>
    <w:rsid w:val="007E6F7B"/>
    <w:rsid w:val="007E70C8"/>
    <w:rsid w:val="007E79F1"/>
    <w:rsid w:val="007F3735"/>
    <w:rsid w:val="00801DFA"/>
    <w:rsid w:val="00806339"/>
    <w:rsid w:val="008113DA"/>
    <w:rsid w:val="00813301"/>
    <w:rsid w:val="0081632C"/>
    <w:rsid w:val="00827359"/>
    <w:rsid w:val="00833F8D"/>
    <w:rsid w:val="00850BD0"/>
    <w:rsid w:val="00853815"/>
    <w:rsid w:val="0086053F"/>
    <w:rsid w:val="0088265E"/>
    <w:rsid w:val="00884D55"/>
    <w:rsid w:val="008855CE"/>
    <w:rsid w:val="008C059F"/>
    <w:rsid w:val="008C297D"/>
    <w:rsid w:val="008C487F"/>
    <w:rsid w:val="008D0304"/>
    <w:rsid w:val="008D631B"/>
    <w:rsid w:val="008E64CB"/>
    <w:rsid w:val="008F1D2C"/>
    <w:rsid w:val="00906CED"/>
    <w:rsid w:val="00911196"/>
    <w:rsid w:val="009426CF"/>
    <w:rsid w:val="00955368"/>
    <w:rsid w:val="00955B91"/>
    <w:rsid w:val="009627D4"/>
    <w:rsid w:val="00963000"/>
    <w:rsid w:val="0097147B"/>
    <w:rsid w:val="00982C33"/>
    <w:rsid w:val="009A7D0F"/>
    <w:rsid w:val="009B5D49"/>
    <w:rsid w:val="009C423F"/>
    <w:rsid w:val="009D6770"/>
    <w:rsid w:val="009D745F"/>
    <w:rsid w:val="009E49C0"/>
    <w:rsid w:val="009F52D6"/>
    <w:rsid w:val="00A0015F"/>
    <w:rsid w:val="00A11377"/>
    <w:rsid w:val="00A2784A"/>
    <w:rsid w:val="00A33BFF"/>
    <w:rsid w:val="00A4176D"/>
    <w:rsid w:val="00A443EC"/>
    <w:rsid w:val="00A50F3D"/>
    <w:rsid w:val="00A5205F"/>
    <w:rsid w:val="00A54098"/>
    <w:rsid w:val="00A55794"/>
    <w:rsid w:val="00A56120"/>
    <w:rsid w:val="00A603D5"/>
    <w:rsid w:val="00A744C4"/>
    <w:rsid w:val="00A80302"/>
    <w:rsid w:val="00A903A2"/>
    <w:rsid w:val="00AA365E"/>
    <w:rsid w:val="00AA444A"/>
    <w:rsid w:val="00AA51B1"/>
    <w:rsid w:val="00AB742C"/>
    <w:rsid w:val="00AC1648"/>
    <w:rsid w:val="00B01957"/>
    <w:rsid w:val="00B06E73"/>
    <w:rsid w:val="00B12E44"/>
    <w:rsid w:val="00B171E6"/>
    <w:rsid w:val="00B21A90"/>
    <w:rsid w:val="00B357E4"/>
    <w:rsid w:val="00B36126"/>
    <w:rsid w:val="00BA0BD6"/>
    <w:rsid w:val="00BA26D6"/>
    <w:rsid w:val="00BD3822"/>
    <w:rsid w:val="00BD6494"/>
    <w:rsid w:val="00BF0637"/>
    <w:rsid w:val="00BF0B38"/>
    <w:rsid w:val="00BF4649"/>
    <w:rsid w:val="00BF527F"/>
    <w:rsid w:val="00BF661B"/>
    <w:rsid w:val="00BF6A7C"/>
    <w:rsid w:val="00C11A16"/>
    <w:rsid w:val="00C217A8"/>
    <w:rsid w:val="00C26E8E"/>
    <w:rsid w:val="00C3025B"/>
    <w:rsid w:val="00C4250C"/>
    <w:rsid w:val="00C51D31"/>
    <w:rsid w:val="00C520DC"/>
    <w:rsid w:val="00C71477"/>
    <w:rsid w:val="00C767CE"/>
    <w:rsid w:val="00C776C0"/>
    <w:rsid w:val="00C85310"/>
    <w:rsid w:val="00C91F90"/>
    <w:rsid w:val="00C9561F"/>
    <w:rsid w:val="00C97A60"/>
    <w:rsid w:val="00CC0B4D"/>
    <w:rsid w:val="00CC22EB"/>
    <w:rsid w:val="00CC4DB4"/>
    <w:rsid w:val="00CC72FC"/>
    <w:rsid w:val="00CD2D42"/>
    <w:rsid w:val="00CD4BD3"/>
    <w:rsid w:val="00CD7AAE"/>
    <w:rsid w:val="00CF35CD"/>
    <w:rsid w:val="00D33899"/>
    <w:rsid w:val="00D34996"/>
    <w:rsid w:val="00D846A2"/>
    <w:rsid w:val="00D873D1"/>
    <w:rsid w:val="00D9184B"/>
    <w:rsid w:val="00DA09AE"/>
    <w:rsid w:val="00DA3415"/>
    <w:rsid w:val="00DC51DF"/>
    <w:rsid w:val="00DD6EE9"/>
    <w:rsid w:val="00E26DB2"/>
    <w:rsid w:val="00E3164B"/>
    <w:rsid w:val="00E3532C"/>
    <w:rsid w:val="00E51865"/>
    <w:rsid w:val="00E612AD"/>
    <w:rsid w:val="00E636A1"/>
    <w:rsid w:val="00E66034"/>
    <w:rsid w:val="00E81898"/>
    <w:rsid w:val="00E92FA5"/>
    <w:rsid w:val="00E94177"/>
    <w:rsid w:val="00E97116"/>
    <w:rsid w:val="00EB1511"/>
    <w:rsid w:val="00EB2833"/>
    <w:rsid w:val="00EC3EE5"/>
    <w:rsid w:val="00ED0C36"/>
    <w:rsid w:val="00ED0D70"/>
    <w:rsid w:val="00ED30B3"/>
    <w:rsid w:val="00ED5986"/>
    <w:rsid w:val="00ED5C58"/>
    <w:rsid w:val="00EE28E0"/>
    <w:rsid w:val="00F00A45"/>
    <w:rsid w:val="00F00DA5"/>
    <w:rsid w:val="00F328C0"/>
    <w:rsid w:val="00F50A24"/>
    <w:rsid w:val="00F5649F"/>
    <w:rsid w:val="00F64FDB"/>
    <w:rsid w:val="00F652C6"/>
    <w:rsid w:val="00F70514"/>
    <w:rsid w:val="00F711D1"/>
    <w:rsid w:val="00F726D4"/>
    <w:rsid w:val="00F80CBC"/>
    <w:rsid w:val="00F94EF8"/>
    <w:rsid w:val="00F959EE"/>
    <w:rsid w:val="00F9758B"/>
    <w:rsid w:val="00FA470D"/>
    <w:rsid w:val="00FB558E"/>
    <w:rsid w:val="00FC304F"/>
    <w:rsid w:val="00FD3C92"/>
    <w:rsid w:val="00FE09CD"/>
    <w:rsid w:val="00FE607D"/>
    <w:rsid w:val="0128505F"/>
    <w:rsid w:val="0168325F"/>
    <w:rsid w:val="016E2FA0"/>
    <w:rsid w:val="01B2518C"/>
    <w:rsid w:val="02072A78"/>
    <w:rsid w:val="02786EBA"/>
    <w:rsid w:val="0281282A"/>
    <w:rsid w:val="04111487"/>
    <w:rsid w:val="04117BDE"/>
    <w:rsid w:val="04980DEA"/>
    <w:rsid w:val="04AC787D"/>
    <w:rsid w:val="04E80FBB"/>
    <w:rsid w:val="04F25EB3"/>
    <w:rsid w:val="05793C8D"/>
    <w:rsid w:val="059A3C03"/>
    <w:rsid w:val="05AA02EA"/>
    <w:rsid w:val="05E51586"/>
    <w:rsid w:val="064424ED"/>
    <w:rsid w:val="0661309E"/>
    <w:rsid w:val="06976D52"/>
    <w:rsid w:val="06B17456"/>
    <w:rsid w:val="06DC7C3B"/>
    <w:rsid w:val="06F6110C"/>
    <w:rsid w:val="070D2776"/>
    <w:rsid w:val="075B5D40"/>
    <w:rsid w:val="07B51198"/>
    <w:rsid w:val="07BF7A34"/>
    <w:rsid w:val="082B2A54"/>
    <w:rsid w:val="083D5469"/>
    <w:rsid w:val="08FC0E5C"/>
    <w:rsid w:val="09104BEE"/>
    <w:rsid w:val="09FF0BA8"/>
    <w:rsid w:val="0A5E78F5"/>
    <w:rsid w:val="0A7F7F97"/>
    <w:rsid w:val="0B76797B"/>
    <w:rsid w:val="0B8E7D66"/>
    <w:rsid w:val="0C2B45A8"/>
    <w:rsid w:val="0C590374"/>
    <w:rsid w:val="0CE20369"/>
    <w:rsid w:val="0CEC11E8"/>
    <w:rsid w:val="0CF4418A"/>
    <w:rsid w:val="0D721847"/>
    <w:rsid w:val="0DC539CC"/>
    <w:rsid w:val="0DE6307D"/>
    <w:rsid w:val="0DEE4240"/>
    <w:rsid w:val="0E094E19"/>
    <w:rsid w:val="0E5E7EC3"/>
    <w:rsid w:val="0E8F2773"/>
    <w:rsid w:val="0ED14B39"/>
    <w:rsid w:val="0EE14175"/>
    <w:rsid w:val="0EF737D2"/>
    <w:rsid w:val="0F933B9D"/>
    <w:rsid w:val="10495BCD"/>
    <w:rsid w:val="10586B70"/>
    <w:rsid w:val="10AF7494"/>
    <w:rsid w:val="10BE2E9B"/>
    <w:rsid w:val="10D821AF"/>
    <w:rsid w:val="10D91A83"/>
    <w:rsid w:val="10DC4F71"/>
    <w:rsid w:val="10EA0134"/>
    <w:rsid w:val="11140D0D"/>
    <w:rsid w:val="114535BD"/>
    <w:rsid w:val="11496C09"/>
    <w:rsid w:val="116E2B13"/>
    <w:rsid w:val="11851C0B"/>
    <w:rsid w:val="11E22BBA"/>
    <w:rsid w:val="124E024F"/>
    <w:rsid w:val="128A7103"/>
    <w:rsid w:val="12D469A6"/>
    <w:rsid w:val="132554EB"/>
    <w:rsid w:val="134C29E0"/>
    <w:rsid w:val="134C4433"/>
    <w:rsid w:val="13A7230D"/>
    <w:rsid w:val="13ED0E8F"/>
    <w:rsid w:val="13FD017F"/>
    <w:rsid w:val="14180B15"/>
    <w:rsid w:val="14912710"/>
    <w:rsid w:val="14F86184"/>
    <w:rsid w:val="15436065"/>
    <w:rsid w:val="15E0477C"/>
    <w:rsid w:val="16077093"/>
    <w:rsid w:val="1636067D"/>
    <w:rsid w:val="16655F19"/>
    <w:rsid w:val="168168E2"/>
    <w:rsid w:val="17A53D4A"/>
    <w:rsid w:val="18BF3C55"/>
    <w:rsid w:val="18D771F0"/>
    <w:rsid w:val="194720B3"/>
    <w:rsid w:val="19A74E14"/>
    <w:rsid w:val="19ED4643"/>
    <w:rsid w:val="1AC15A62"/>
    <w:rsid w:val="1AEB0D31"/>
    <w:rsid w:val="1B2341A7"/>
    <w:rsid w:val="1B6805D3"/>
    <w:rsid w:val="1C9662F4"/>
    <w:rsid w:val="1CA132FA"/>
    <w:rsid w:val="1D387C4A"/>
    <w:rsid w:val="1D4D792E"/>
    <w:rsid w:val="1E6B49A3"/>
    <w:rsid w:val="1E7A2AF8"/>
    <w:rsid w:val="1F446C62"/>
    <w:rsid w:val="1F9F5904"/>
    <w:rsid w:val="2007660D"/>
    <w:rsid w:val="204A02A8"/>
    <w:rsid w:val="2078202A"/>
    <w:rsid w:val="2099122F"/>
    <w:rsid w:val="20994D8B"/>
    <w:rsid w:val="20A0436C"/>
    <w:rsid w:val="20FE7E7A"/>
    <w:rsid w:val="2112614E"/>
    <w:rsid w:val="230010F2"/>
    <w:rsid w:val="233D40F4"/>
    <w:rsid w:val="237F017D"/>
    <w:rsid w:val="24044C11"/>
    <w:rsid w:val="243510D4"/>
    <w:rsid w:val="247D36B7"/>
    <w:rsid w:val="24CE76CA"/>
    <w:rsid w:val="24D913A6"/>
    <w:rsid w:val="259B2C26"/>
    <w:rsid w:val="266279B6"/>
    <w:rsid w:val="267E0CAB"/>
    <w:rsid w:val="26AD77E2"/>
    <w:rsid w:val="26F84502"/>
    <w:rsid w:val="277B0EAE"/>
    <w:rsid w:val="27801D6E"/>
    <w:rsid w:val="27853BC1"/>
    <w:rsid w:val="27C76682"/>
    <w:rsid w:val="28542E7E"/>
    <w:rsid w:val="28C637CB"/>
    <w:rsid w:val="29760805"/>
    <w:rsid w:val="29B844D4"/>
    <w:rsid w:val="29C52829"/>
    <w:rsid w:val="29D357B2"/>
    <w:rsid w:val="2A0E0598"/>
    <w:rsid w:val="2A1536D4"/>
    <w:rsid w:val="2A273408"/>
    <w:rsid w:val="2A5A37DD"/>
    <w:rsid w:val="2A84085A"/>
    <w:rsid w:val="2A9036A3"/>
    <w:rsid w:val="2B1C4F36"/>
    <w:rsid w:val="2BA10B17"/>
    <w:rsid w:val="2BAA7CE1"/>
    <w:rsid w:val="2BFE1551"/>
    <w:rsid w:val="2C234EC1"/>
    <w:rsid w:val="2C332538"/>
    <w:rsid w:val="2C5F4EE8"/>
    <w:rsid w:val="2D4F666C"/>
    <w:rsid w:val="2DE2455B"/>
    <w:rsid w:val="2DE55AB4"/>
    <w:rsid w:val="2DF126AA"/>
    <w:rsid w:val="2DF14458"/>
    <w:rsid w:val="2E3A5DFF"/>
    <w:rsid w:val="2E72494F"/>
    <w:rsid w:val="2EC84FA1"/>
    <w:rsid w:val="2EE87609"/>
    <w:rsid w:val="2F0106CB"/>
    <w:rsid w:val="2F1F6DA3"/>
    <w:rsid w:val="2F2B1BEC"/>
    <w:rsid w:val="2F5C1DA5"/>
    <w:rsid w:val="2F725125"/>
    <w:rsid w:val="2FA71376"/>
    <w:rsid w:val="306C6979"/>
    <w:rsid w:val="308772AD"/>
    <w:rsid w:val="30970232"/>
    <w:rsid w:val="30D065A7"/>
    <w:rsid w:val="31215055"/>
    <w:rsid w:val="31644F41"/>
    <w:rsid w:val="319D5111"/>
    <w:rsid w:val="31D73965"/>
    <w:rsid w:val="31D77D3F"/>
    <w:rsid w:val="337F6063"/>
    <w:rsid w:val="33DE59A9"/>
    <w:rsid w:val="34B47F8E"/>
    <w:rsid w:val="34CF5880"/>
    <w:rsid w:val="350B5E00"/>
    <w:rsid w:val="352C4C62"/>
    <w:rsid w:val="35683252"/>
    <w:rsid w:val="358C31E4"/>
    <w:rsid w:val="35951B6D"/>
    <w:rsid w:val="35F1149A"/>
    <w:rsid w:val="379B39B9"/>
    <w:rsid w:val="379D2F5B"/>
    <w:rsid w:val="379E11AD"/>
    <w:rsid w:val="383C09C6"/>
    <w:rsid w:val="38871C41"/>
    <w:rsid w:val="38966328"/>
    <w:rsid w:val="389731A2"/>
    <w:rsid w:val="38BD5663"/>
    <w:rsid w:val="38F63FBF"/>
    <w:rsid w:val="39C42A21"/>
    <w:rsid w:val="3A2F66BB"/>
    <w:rsid w:val="3A461688"/>
    <w:rsid w:val="3A4A1FF9"/>
    <w:rsid w:val="3A563E91"/>
    <w:rsid w:val="3A8328DC"/>
    <w:rsid w:val="3AC7206B"/>
    <w:rsid w:val="3B0F17D9"/>
    <w:rsid w:val="3B64270E"/>
    <w:rsid w:val="3BE22DDC"/>
    <w:rsid w:val="3C323D6F"/>
    <w:rsid w:val="3C5067EE"/>
    <w:rsid w:val="3CC83550"/>
    <w:rsid w:val="3D193084"/>
    <w:rsid w:val="3D22462E"/>
    <w:rsid w:val="3D8449A1"/>
    <w:rsid w:val="3E8D45FA"/>
    <w:rsid w:val="3ECA4F52"/>
    <w:rsid w:val="3F0227F8"/>
    <w:rsid w:val="3FAC6431"/>
    <w:rsid w:val="3FF81676"/>
    <w:rsid w:val="40147EBA"/>
    <w:rsid w:val="40A84623"/>
    <w:rsid w:val="40C21C20"/>
    <w:rsid w:val="411A73CB"/>
    <w:rsid w:val="417F6D85"/>
    <w:rsid w:val="42660F50"/>
    <w:rsid w:val="426E4E56"/>
    <w:rsid w:val="426E5C20"/>
    <w:rsid w:val="4290054B"/>
    <w:rsid w:val="431A7B56"/>
    <w:rsid w:val="431E7646"/>
    <w:rsid w:val="43994F1E"/>
    <w:rsid w:val="43AE3836"/>
    <w:rsid w:val="43CC0E50"/>
    <w:rsid w:val="43CD4BC8"/>
    <w:rsid w:val="443133A9"/>
    <w:rsid w:val="444B3079"/>
    <w:rsid w:val="444E5D09"/>
    <w:rsid w:val="44564BBE"/>
    <w:rsid w:val="44F45EBA"/>
    <w:rsid w:val="4517110E"/>
    <w:rsid w:val="453B44DF"/>
    <w:rsid w:val="453F38A4"/>
    <w:rsid w:val="459E05CA"/>
    <w:rsid w:val="45C53DA9"/>
    <w:rsid w:val="45E52BA0"/>
    <w:rsid w:val="45FE72BB"/>
    <w:rsid w:val="4618037D"/>
    <w:rsid w:val="463D7DE3"/>
    <w:rsid w:val="4689127A"/>
    <w:rsid w:val="46E577BE"/>
    <w:rsid w:val="4841750B"/>
    <w:rsid w:val="49017EB3"/>
    <w:rsid w:val="4A0433F5"/>
    <w:rsid w:val="4B1F03FF"/>
    <w:rsid w:val="4B642CB7"/>
    <w:rsid w:val="4C3D1DB0"/>
    <w:rsid w:val="4CF87C3E"/>
    <w:rsid w:val="4D92310A"/>
    <w:rsid w:val="4DA22C22"/>
    <w:rsid w:val="4F012FB2"/>
    <w:rsid w:val="4F10078B"/>
    <w:rsid w:val="4F102E0C"/>
    <w:rsid w:val="4FFF246A"/>
    <w:rsid w:val="500951DA"/>
    <w:rsid w:val="506F328F"/>
    <w:rsid w:val="509E6752"/>
    <w:rsid w:val="50A606DB"/>
    <w:rsid w:val="513950BF"/>
    <w:rsid w:val="514226FE"/>
    <w:rsid w:val="51820595"/>
    <w:rsid w:val="51855EF3"/>
    <w:rsid w:val="51A927D1"/>
    <w:rsid w:val="51CB2747"/>
    <w:rsid w:val="5224454D"/>
    <w:rsid w:val="52A86F2C"/>
    <w:rsid w:val="52E87329"/>
    <w:rsid w:val="533B1B4E"/>
    <w:rsid w:val="5358625C"/>
    <w:rsid w:val="536F4764"/>
    <w:rsid w:val="537B019D"/>
    <w:rsid w:val="540939FA"/>
    <w:rsid w:val="543F11CA"/>
    <w:rsid w:val="54601C88"/>
    <w:rsid w:val="54C33BA9"/>
    <w:rsid w:val="54D263C6"/>
    <w:rsid w:val="55466588"/>
    <w:rsid w:val="554A3CC0"/>
    <w:rsid w:val="55AF05D2"/>
    <w:rsid w:val="55CA34A0"/>
    <w:rsid w:val="55F42B14"/>
    <w:rsid w:val="56440D1A"/>
    <w:rsid w:val="565876BB"/>
    <w:rsid w:val="574216FD"/>
    <w:rsid w:val="57917F8F"/>
    <w:rsid w:val="57C85D60"/>
    <w:rsid w:val="57DA1D5C"/>
    <w:rsid w:val="582E15AD"/>
    <w:rsid w:val="58A74744"/>
    <w:rsid w:val="58CA7BFC"/>
    <w:rsid w:val="59157675"/>
    <w:rsid w:val="598A738C"/>
    <w:rsid w:val="59F64A21"/>
    <w:rsid w:val="5A875679"/>
    <w:rsid w:val="5AA61AF3"/>
    <w:rsid w:val="5AD621D4"/>
    <w:rsid w:val="5AEE394A"/>
    <w:rsid w:val="5B1E422F"/>
    <w:rsid w:val="5B4778D1"/>
    <w:rsid w:val="5BE417F7"/>
    <w:rsid w:val="5D5B27A1"/>
    <w:rsid w:val="5E0450C0"/>
    <w:rsid w:val="5E103114"/>
    <w:rsid w:val="5E692465"/>
    <w:rsid w:val="5EA26F25"/>
    <w:rsid w:val="5F3C4C84"/>
    <w:rsid w:val="5FD27396"/>
    <w:rsid w:val="609A233E"/>
    <w:rsid w:val="60E47381"/>
    <w:rsid w:val="6138147B"/>
    <w:rsid w:val="61D2367E"/>
    <w:rsid w:val="61E909C7"/>
    <w:rsid w:val="62404A8B"/>
    <w:rsid w:val="627617B6"/>
    <w:rsid w:val="62A3501A"/>
    <w:rsid w:val="6300421A"/>
    <w:rsid w:val="631101D6"/>
    <w:rsid w:val="63316ACA"/>
    <w:rsid w:val="63B4620A"/>
    <w:rsid w:val="65314B5F"/>
    <w:rsid w:val="655F2AE8"/>
    <w:rsid w:val="659D0447"/>
    <w:rsid w:val="65E61F02"/>
    <w:rsid w:val="66751220"/>
    <w:rsid w:val="66C0263F"/>
    <w:rsid w:val="66E612EE"/>
    <w:rsid w:val="66EA1469"/>
    <w:rsid w:val="67696832"/>
    <w:rsid w:val="67FA0C0D"/>
    <w:rsid w:val="69136471"/>
    <w:rsid w:val="69256789"/>
    <w:rsid w:val="694B46D8"/>
    <w:rsid w:val="69B12712"/>
    <w:rsid w:val="69CC27C2"/>
    <w:rsid w:val="69DD7064"/>
    <w:rsid w:val="6A0942FC"/>
    <w:rsid w:val="6A624DCF"/>
    <w:rsid w:val="6A6D7740"/>
    <w:rsid w:val="6BC404DB"/>
    <w:rsid w:val="6BCF6078"/>
    <w:rsid w:val="6C186A79"/>
    <w:rsid w:val="6C8C399E"/>
    <w:rsid w:val="6C9E7FA6"/>
    <w:rsid w:val="6D1C4347"/>
    <w:rsid w:val="6DD95D94"/>
    <w:rsid w:val="6E1374F8"/>
    <w:rsid w:val="6E7E13A9"/>
    <w:rsid w:val="6E7E3499"/>
    <w:rsid w:val="6E9C129B"/>
    <w:rsid w:val="6EEF145C"/>
    <w:rsid w:val="6F046E40"/>
    <w:rsid w:val="6FAD74D8"/>
    <w:rsid w:val="6FB24AEE"/>
    <w:rsid w:val="70814BED"/>
    <w:rsid w:val="70F857E7"/>
    <w:rsid w:val="7101593E"/>
    <w:rsid w:val="71141A58"/>
    <w:rsid w:val="717C53B4"/>
    <w:rsid w:val="71C1726B"/>
    <w:rsid w:val="72D66D46"/>
    <w:rsid w:val="731F693F"/>
    <w:rsid w:val="735A10A8"/>
    <w:rsid w:val="73832A2A"/>
    <w:rsid w:val="73B162F0"/>
    <w:rsid w:val="73B76B77"/>
    <w:rsid w:val="73DB2875"/>
    <w:rsid w:val="74237D69"/>
    <w:rsid w:val="75D57F54"/>
    <w:rsid w:val="76735B9E"/>
    <w:rsid w:val="774921DC"/>
    <w:rsid w:val="778A36DE"/>
    <w:rsid w:val="779D6540"/>
    <w:rsid w:val="77D25D2E"/>
    <w:rsid w:val="783764D9"/>
    <w:rsid w:val="786646C8"/>
    <w:rsid w:val="78F9553C"/>
    <w:rsid w:val="7973709D"/>
    <w:rsid w:val="7A304F8E"/>
    <w:rsid w:val="7A3E3B4E"/>
    <w:rsid w:val="7A696317"/>
    <w:rsid w:val="7A6C6B25"/>
    <w:rsid w:val="7BD83CFD"/>
    <w:rsid w:val="7C0E57A2"/>
    <w:rsid w:val="7C181315"/>
    <w:rsid w:val="7D2E6569"/>
    <w:rsid w:val="7D5D078F"/>
    <w:rsid w:val="7D6C452F"/>
    <w:rsid w:val="7D8B3F09"/>
    <w:rsid w:val="7DA63EE4"/>
    <w:rsid w:val="7E521976"/>
    <w:rsid w:val="7F0553B8"/>
    <w:rsid w:val="7F1430D0"/>
    <w:rsid w:val="7F1B4963"/>
    <w:rsid w:val="7F5408B6"/>
    <w:rsid w:val="7FE36A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spacing w:beforeAutospacing="1" w:afterAutospacing="1"/>
      <w:jc w:val="left"/>
      <w:outlineLvl w:val="1"/>
    </w:pPr>
    <w:rPr>
      <w:rFonts w:hint="eastAsia" w:ascii="宋体" w:hAnsi="宋体" w:eastAsia="宋体" w:cs="Times New Roman"/>
      <w:b/>
      <w:bCs/>
      <w:kern w:val="0"/>
      <w:sz w:val="36"/>
      <w:szCs w:val="36"/>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semiHidden/>
    <w:unhideWhenUsed/>
    <w:qFormat/>
    <w:uiPriority w:val="99"/>
    <w:pPr>
      <w:spacing w:after="120"/>
    </w:pPr>
  </w:style>
  <w:style w:type="paragraph" w:styleId="5">
    <w:name w:val="Balloon Text"/>
    <w:basedOn w:val="1"/>
    <w:link w:val="15"/>
    <w:semiHidden/>
    <w:unhideWhenUsed/>
    <w:qFormat/>
    <w:uiPriority w:val="99"/>
    <w:rPr>
      <w:sz w:val="18"/>
      <w:szCs w:val="18"/>
    </w:r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unhideWhenUsed/>
    <w:qFormat/>
    <w:uiPriority w:val="99"/>
    <w:rPr>
      <w:color w:val="0563C1" w:themeColor="hyperlink"/>
      <w:u w:val="single"/>
      <w14:textFill>
        <w14:solidFill>
          <w14:schemeClr w14:val="hlink"/>
        </w14:solidFill>
      </w14:textFill>
    </w:rPr>
  </w:style>
  <w:style w:type="paragraph" w:styleId="12">
    <w:name w:val="List Paragraph"/>
    <w:basedOn w:val="1"/>
    <w:qFormat/>
    <w:uiPriority w:val="34"/>
    <w:pPr>
      <w:ind w:firstLine="420" w:firstLineChars="200"/>
    </w:pPr>
  </w:style>
  <w:style w:type="character" w:customStyle="1" w:styleId="13">
    <w:name w:val="页眉 字符"/>
    <w:basedOn w:val="10"/>
    <w:link w:val="7"/>
    <w:qFormat/>
    <w:uiPriority w:val="99"/>
    <w:rPr>
      <w:sz w:val="18"/>
      <w:szCs w:val="18"/>
    </w:rPr>
  </w:style>
  <w:style w:type="character" w:customStyle="1" w:styleId="14">
    <w:name w:val="页脚 字符"/>
    <w:basedOn w:val="10"/>
    <w:link w:val="6"/>
    <w:qFormat/>
    <w:uiPriority w:val="99"/>
    <w:rPr>
      <w:sz w:val="18"/>
      <w:szCs w:val="18"/>
    </w:rPr>
  </w:style>
  <w:style w:type="character" w:customStyle="1" w:styleId="15">
    <w:name w:val="批注框文本 字符"/>
    <w:basedOn w:val="10"/>
    <w:link w:val="5"/>
    <w:semiHidden/>
    <w:qFormat/>
    <w:uiPriority w:val="99"/>
    <w:rPr>
      <w:sz w:val="18"/>
      <w:szCs w:val="18"/>
    </w:rPr>
  </w:style>
  <w:style w:type="table" w:customStyle="1" w:styleId="16">
    <w:name w:val="网格型1"/>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
    <w:name w:val="网格型2"/>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448</Words>
  <Characters>450</Characters>
  <Lines>3</Lines>
  <Paragraphs>1</Paragraphs>
  <TotalTime>2</TotalTime>
  <ScaleCrop>false</ScaleCrop>
  <LinksUpToDate>false</LinksUpToDate>
  <CharactersWithSpaces>460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2018-07-27T06:51:00Z</dcterms:created>
  <dc:creator>xzhen021@hotmail.com</dc:creator>
  <cp:lastModifiedBy>u.u</cp:lastModifiedBy>
  <cp:lastPrinted>2024-10-12T02:40:00Z</cp:lastPrinted>
  <dcterms:modified xsi:type="dcterms:W3CDTF">2025-05-23T02:33:41Z</dcterms:modified>
  <cp:revision>109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62714293442D4FC1894203B5E7F35D1D_13</vt:lpwstr>
  </property>
  <property fmtid="{D5CDD505-2E9C-101B-9397-08002B2CF9AE}" pid="4" name="KSOTemplateDocerSaveRecord">
    <vt:lpwstr>eyJoZGlkIjoiMGNiNzI1NjI0MjIzNTYwMTIwMzkwNTBjM2ExZDAzNmIiLCJ1c2VySWQiOiIzNDcxMDk5ODcifQ==</vt:lpwstr>
  </property>
</Properties>
</file>